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’Dalry Living Well Locally’; Edinburgh Bus Users Group response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Edinburgh Bus Users Group is pleased to respond to the consultation on ’Dalry Living Well Locally’.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we can welcome the broad principle, we have misgivings about the approach proposed by the City of Edinburgh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welcome the bus gate at Haymarket, with the strategy of diverting as much traffic as possible onto the Western Approach 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consequence of the ‘travel corridor approach’, as highlighted by Living Streets Edinburgh Group (LSEG), is that, except in the ‘town centre’, there are segregated cycleways along the whole route. This results in compromises for other modes, including buses, walking and wheeling. We accept that bus lanes may be inappropriate if the overarching objective of significantly reducing motor traffic is achieved; similarly it is not clear why segregated cycleways would be needed throughout.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understood that the long section of footway at Dalry cemetery is below the council’s absolute minimum width (2 metres). We note that it is proposed to locally widen the footway at the bus stop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welcome the commitment not to remove bus stops, although a small number are slightly relocated. There are ten bus stops along the route, eight of which will be floating bus stops. We have expressed our reservations about them in other schemes. As above, it is not clear why these are all needed if the overarching objective of significantly reducing motor traffic is achieved.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remain concerned that, in schemes like these, a default approach is often deployed, where bus facilities are squeezed in where possible, and floating bus stops used as a matter of course.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