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Trams from Granton to the Edinburgh BioQuarter and Royal Infirmary of Edinburgh and Beyond consultation</w:t>
      </w:r>
    </w:p>
    <w:p>
      <w:pPr>
        <w:spacing w:before="0" w:after="200" w:line="276"/>
        <w:ind w:right="0" w:left="0" w:firstLine="0"/>
        <w:jc w:val="center"/>
        <w:rPr>
          <w:rFonts w:ascii="Arial" w:hAnsi="Arial" w:cs="Arial" w:eastAsia="Arial"/>
          <w:b/>
          <w:color w:val="auto"/>
          <w:spacing w:val="0"/>
          <w:position w:val="0"/>
          <w:sz w:val="28"/>
          <w:shd w:fill="auto" w:val="clear"/>
        </w:rPr>
      </w:pPr>
      <w:r>
        <w:rPr>
          <w:rFonts w:ascii="Arial" w:hAnsi="Arial" w:cs="Arial" w:eastAsia="Arial"/>
          <w:b/>
          <w:color w:val="auto"/>
          <w:spacing w:val="0"/>
          <w:position w:val="0"/>
          <w:sz w:val="28"/>
          <w:shd w:fill="auto" w:val="clear"/>
        </w:rPr>
        <w:t xml:space="preserve">Edinburgh Bus Users Group response</w:t>
      </w:r>
    </w:p>
    <w:p>
      <w:pPr>
        <w:spacing w:before="0" w:after="200" w:line="276"/>
        <w:ind w:right="0" w:left="0" w:firstLine="0"/>
        <w:jc w:val="center"/>
        <w:rPr>
          <w:rFonts w:ascii="Arial" w:hAnsi="Arial" w:cs="Arial" w:eastAsia="Arial"/>
          <w:color w:val="auto"/>
          <w:spacing w:val="0"/>
          <w:position w:val="0"/>
          <w:sz w:val="28"/>
          <w:shd w:fill="auto" w:val="clear"/>
        </w:rPr>
      </w:pP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Any further routes must be based on a systematic network approach, notably including buses, incorporating and embedding high quality public transport infrastructure within high quality public realm. In particular, buses must be planned in from the outset, not squeezed in as an afterthought. (As set out in our deputations to Transport and Envonment Committee on 1/2/24 and 25/4/24).</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a) In particular, buses being planned in from the outset, not squeezed in as an afterthought means (i) sufficient space for buses and bus stops where they run on the same corridor as the tram, and (ii) providing bus priority lanes where they are displaced to parallel corridors; this is particularly relevant for South Bridge.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Arial" w:hAnsi="Arial" w:cs="Arial" w:eastAsia="Arial"/>
          <w:color w:val="auto"/>
          <w:spacing w:val="0"/>
          <w:position w:val="0"/>
          <w:sz w:val="22"/>
          <w:shd w:fill="auto" w:val="clear"/>
        </w:rPr>
        <w:t xml:space="preserve">It also means identifying and constructing interchanges between buses and trams, based on minimising walking distances, adequate bus stops, seating, lighting, maintenance and service information.</w:t>
      </w:r>
    </w:p>
    <w:p>
      <w:pPr>
        <w:spacing w:before="0" w:after="200" w:line="276"/>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 the Bridges route must be under-pinned by an early engineering assessment detailing the structural capacity of both Bridges and existing defects of all South Bridge spans.</w:t>
      </w:r>
    </w:p>
    <w:p>
      <w:pPr>
        <w:spacing w:before="0" w:after="200" w:line="276"/>
        <w:ind w:right="0" w:left="0" w:firstLine="0"/>
        <w:jc w:val="left"/>
        <w:rPr>
          <w:rFonts w:ascii="Arial" w:hAnsi="Arial" w:cs="Arial" w:eastAsia="Arial"/>
          <w:color w:val="auto"/>
          <w:spacing w:val="0"/>
          <w:position w:val="0"/>
          <w:sz w:val="24"/>
          <w:shd w:fill="auto" w:val="clear"/>
        </w:rPr>
      </w:pPr>
      <w:r>
        <w:rPr>
          <w:rFonts w:ascii="Arial" w:hAnsi="Arial" w:cs="Arial" w:eastAsia="Arial"/>
          <w:color w:val="auto"/>
          <w:spacing w:val="0"/>
          <w:position w:val="0"/>
          <w:sz w:val="22"/>
          <w:shd w:fill="auto" w:val="clear"/>
        </w:rPr>
        <w:t xml:space="preserve">c) the costs for the preparation of the Strategic Business Case must not impact on the maintenance and overdue improvement of bus infrastructure.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